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1EA0B4D-52DA-4B2A-85BA-1FFA5FA64ED3" style="width:450.35pt;height:394.7pt">
            <v:imagedata r:id="rId10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на предложение за среда за европейско морско обслужване на едно гише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Средата за даване на сведения за кораби днес е много неефективна поради липса на хармонизация, изискване за даване на сведения чрез няколко входни точки и ниски нива на споделяне на подадените данни (транспортните оператори често се налага да подават едни и същи данни на няколко органа). Всички тези фактори правят даването на сведения тежка задача за транспортните оператори. </w:t>
            </w:r>
            <w:r>
              <w:rPr>
                <w:rFonts w:ascii="Arial" w:hAnsi="Arial"/>
                <w:b/>
                <w:noProof/>
                <w:sz w:val="20"/>
              </w:rPr>
              <w:t>Всяка година в ЕС се отделят около 4,6 милиона часа от времето на персонала за даване на сведения</w:t>
            </w:r>
            <w:r>
              <w:rPr>
                <w:rFonts w:ascii="Arial" w:hAnsi="Arial"/>
                <w:noProof/>
                <w:sz w:val="20"/>
              </w:rPr>
              <w:t>, като има голям потенциал за понижаване на административната тежест.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се постигне с инициативата?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Предложението има за цел да се въведе хармонизирана, опростена и всеобхватна среда за даване на сведения. Така следва да се укрепи единният пазар, да се подобри конкурентоспособността на морския транспорт и да се допринесе за веригата на цифровия мултимодален транспорт.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За да може успешно да се постигне хармонизирана среда за даване на сведения, са необходими правни действия на равнището на ЕС. Разработените и прилаганите на международно или национално равнище политики е малко вероятно да доведат до хармонизиране в тази област. 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за действие бяха разгледани? Има ли предпочетен вариант, или не? Защо?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Разгледаните варианти са: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А) Обвързващи технически спецификации за постигане на хармонизирани портали за даване на сведения (интерфейси за връзка) към услугите на едно гише в национален мащаб (NSW) или с всеобхватна информация (вариант 1), или с ограничена информация (вариант 2);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Б) Общо ИТ решение за компонент на интерфейс за връзка от портал за даване на сведения във всички NSW с всеобхватна (вариант Б1) или ограничена (вариант Б2) информация;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В) портал на услуги на едно гише в централен мащаб за морския транспорт за даване на сведения, създаден на равнището на ЕС, с всеобхватна (вариант В1) или ограничена (вариант В2) информация.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Въз основа на приемането от заинтересованите страни, ефективността, разходоефективността, рисковете и съгласуваността, </w:t>
            </w:r>
            <w:r>
              <w:rPr>
                <w:rFonts w:ascii="Arial" w:hAnsi="Arial"/>
                <w:b/>
                <w:noProof/>
                <w:sz w:val="20"/>
              </w:rPr>
              <w:t>предложеният предпочетен вариант е Б1.</w:t>
            </w: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получава силна подкрепа от основните групи заинтересовани страни. Транспортните дружества и корабните агенти като цяло предпочитат всеобхватно и централизирано решение като гаранция за хармонизиране. Държавите членки предимно предпочитат всеобхватно и децентрализирано решение (за хармонизиране на интерфейса за връзка на NSW).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предпочетения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предпочетения вариант (ако има такъв, в противен случай — от основните варианти)?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Основната полза е значителното понижаване на административната тежест за транспортните оператори: спестяване на </w:t>
            </w:r>
            <w:r>
              <w:rPr>
                <w:rFonts w:ascii="Arial" w:hAnsi="Arial"/>
                <w:b/>
                <w:noProof/>
                <w:sz w:val="20"/>
              </w:rPr>
              <w:t>22—25 милиона часа от времето на персонала</w:t>
            </w:r>
            <w:r>
              <w:rPr>
                <w:rFonts w:ascii="Arial" w:hAnsi="Arial"/>
                <w:noProof/>
                <w:sz w:val="20"/>
              </w:rPr>
              <w:t xml:space="preserve"> през 2020—2030 г. на </w:t>
            </w:r>
            <w:r>
              <w:rPr>
                <w:rFonts w:ascii="Arial" w:hAnsi="Arial"/>
                <w:b/>
                <w:noProof/>
                <w:sz w:val="20"/>
              </w:rPr>
              <w:t>стойност 625—720 милиона евро</w:t>
            </w:r>
            <w:r>
              <w:rPr>
                <w:rFonts w:ascii="Arial" w:hAnsi="Arial"/>
                <w:noProof/>
                <w:sz w:val="20"/>
              </w:rPr>
              <w:t xml:space="preserve">. Понижената тежест и подобрената ефективност ще увеличат конкурентоспособността на морския транспорт и ще окажат положително въздействие върху работните места, растежа и намаляването на емисиите CO2. Други очаквани ползи са повишаване на ефективността (мултимодалния транспорт), благодарение на по-доброто използване на данни в пристанищата; повишаване на удовлетвореността от работата на привлекателността на професията; повишаване на безопасността и сигурността. </w:t>
            </w:r>
          </w:p>
        </w:tc>
      </w:tr>
    </w:tbl>
    <w:p>
      <w:pPr>
        <w:widowControl w:val="0"/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са разходите за предпочетения вариант (ако има такъв, в противен случай — за </w:t>
            </w:r>
            <w:r>
              <w:rPr>
                <w:rFonts w:ascii="Tahoma" w:hAnsi="Tahoma"/>
                <w:b/>
                <w:noProof/>
                <w:sz w:val="20"/>
              </w:rPr>
              <w:lastRenderedPageBreak/>
              <w:t>основните варианти)?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t xml:space="preserve">Основните разходи са за разработването и адаптирането на софтуер; и годишните оперативни разходи, включително редовни актуализации на софтуера. Общите очаквани разходи за 2020—2030 г. са </w:t>
            </w:r>
            <w:r>
              <w:rPr>
                <w:rFonts w:ascii="Arial" w:hAnsi="Arial"/>
                <w:b/>
                <w:noProof/>
                <w:sz w:val="20"/>
              </w:rPr>
              <w:t xml:space="preserve">29,4 милиона евро </w:t>
            </w:r>
            <w:r>
              <w:rPr>
                <w:rFonts w:ascii="Arial" w:hAnsi="Arial"/>
                <w:noProof/>
                <w:sz w:val="20"/>
              </w:rPr>
              <w:t>(държави членки + Комисия).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ще са последиците за предприятията, МСП и микропредприятията?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Понижената административна тежест и опростеното даване на сведения ще спомогнат за освобождаване на човешки ресурси, с което ще допринесат с добавена стойност, особено за МСП.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националните бюджети и администрации?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Очакваните средни разходи за държава членка са 1,15 милиона евро за 2020—2030 г. Това включва еднократни инвестиции и годишни разходи.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Не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Кога ще се извърши преглед на действието на законодателните разпоредби?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Оценяване на въздействията следва да бъде започнато 5 години след прилагането. Ще се извършват редовни актуализации в съответствие с правните и техническите изисквания.</w:t>
            </w:r>
          </w:p>
        </w:tc>
      </w:tr>
    </w:tbl>
    <w:p>
      <w:pPr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revisionView w:markup="0"/>
  <w:doNotTrackFormatting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21EA0B4D-52DA-4B2A-85BA-1FFA5FA64ED3"/>
    <w:docVar w:name="LW_COVERPAGE_TYPE" w:val="1"/>
    <w:docVar w:name="LW_CROSSREFERENCE" w:val="{COM(2018) 278 final}_x000b_{SEC(2018) 230 final}_x000b_{SWD(2018) 181 final}"/>
    <w:docVar w:name="LW_DocType" w:val="NORMAL"/>
    <w:docVar w:name="LW_EMISSION" w:val="17.5.2018"/>
    <w:docVar w:name="LW_EMISSION_ISODATE" w:val="2018-05-17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98?\u1079?\u1076?\u1072?\u1074?\u1072?\u1085?\u1077? \u1085?\u1072? \u1089?\u1088?\u1077?\u1076?\u1072? \u1079?\u1072? \u1077?\u1074?\u1088?\u1086?\u1087?\u1077?\u1081?\u1089?\u1082?\u1086? \u1084?\u1086?\u1088?\u1089?\u1082?\u1086? \u1086?\u1073?\u1089?\u1083?\u1091?\u1078?\u1074?\u1072?\u1085?\u1077? \u1085?\u1072? \u1077?\u1076?\u1085?\u1086? \u1075?\u1080?\u1096?\u1077? \u1080? \u1079?\u1072? \u1086?\u1090?\u1084?\u1103?\u1085?\u1072? \u1085?\u1072? \u1044?\u1080?\u1088?\u1077?\u1082?\u1090?\u1080?\u1074?\u1072? 2010/65/\u1045?\u1057?"/>
    <w:docVar w:name="LW_PART_NBR" w:val="1"/>
    <w:docVar w:name="LW_PART_NBR_TOTAL" w:val="1"/>
    <w:docVar w:name="LW_REF.INST.NEW" w:val="SWD"/>
    <w:docVar w:name="LW_REF.INST.NEW_ADOPTED" w:val="final"/>
    <w:docVar w:name="LW_REF.INST.NEW_TEXT" w:val="(2018) 1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\u1090?\u1086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link w:val="PagedecouvertureChar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PagedecouvertureChar">
    <w:name w:val="Page de couverture Char"/>
    <w:basedOn w:val="DefaultParagraphFont"/>
    <w:link w:val="Pagedecouverture"/>
    <w:rPr>
      <w:rFonts w:ascii="Times New Roman" w:hAnsi="Times New Roman" w:cs="Times New Roman"/>
      <w:sz w:val="24"/>
    </w:rPr>
  </w:style>
  <w:style w:type="character" w:customStyle="1" w:styleId="FooterSensitivityChar">
    <w:name w:val="Footer Sensitivity Char"/>
    <w:basedOn w:val="PagedecouvertureChar"/>
    <w:link w:val="Foot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PagedecouvertureChar"/>
    <w:link w:val="HeaderSensitivity"/>
    <w:rPr>
      <w:rFonts w:ascii="Times New Roman" w:eastAsia="Times New Roman" w:hAnsi="Times New Roman" w:cs="Times New Roman"/>
      <w:b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link w:val="PagedecouvertureChar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PagedecouvertureChar">
    <w:name w:val="Page de couverture Char"/>
    <w:basedOn w:val="DefaultParagraphFont"/>
    <w:link w:val="Pagedecouverture"/>
    <w:rPr>
      <w:rFonts w:ascii="Times New Roman" w:hAnsi="Times New Roman" w:cs="Times New Roman"/>
      <w:sz w:val="24"/>
    </w:rPr>
  </w:style>
  <w:style w:type="character" w:customStyle="1" w:styleId="FooterSensitivityChar">
    <w:name w:val="Footer Sensitivity Char"/>
    <w:basedOn w:val="PagedecouvertureChar"/>
    <w:link w:val="Foot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PagedecouvertureChar"/>
    <w:link w:val="HeaderSensitivity"/>
    <w:rPr>
      <w:rFonts w:ascii="Times New Roman" w:eastAsia="Times New Roman" w:hAnsi="Times New Roman" w:cs="Times New Roman"/>
      <w:b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655</Words>
  <Characters>3959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dcterms:created xsi:type="dcterms:W3CDTF">2018-04-19T09:00:00Z</dcterms:created>
  <dcterms:modified xsi:type="dcterms:W3CDTF">2018-06-05T07:47:00Z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